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eastAsia="仿宋_GB2312"/>
          <w:szCs w:val="32"/>
        </w:rPr>
      </w:pPr>
    </w:p>
    <w:p>
      <w:pPr>
        <w:spacing w:line="560" w:lineRule="exact"/>
        <w:ind w:firstLine="0" w:firstLineChars="0"/>
        <w:jc w:val="center"/>
        <w:rPr>
          <w:rFonts w:eastAsia="方正小标宋_GBK"/>
          <w:sz w:val="44"/>
          <w:szCs w:val="44"/>
        </w:rPr>
      </w:pPr>
      <w:r>
        <w:rPr>
          <w:rFonts w:eastAsia="方正小标宋_GBK"/>
          <w:sz w:val="44"/>
          <w:szCs w:val="44"/>
        </w:rPr>
        <w:t>《连云港市化工产业安全环保整治提升</w:t>
      </w:r>
    </w:p>
    <w:p>
      <w:pPr>
        <w:spacing w:line="560" w:lineRule="exact"/>
        <w:ind w:firstLine="0" w:firstLineChars="0"/>
        <w:jc w:val="center"/>
        <w:rPr>
          <w:rFonts w:hint="eastAsia" w:eastAsia="方正小标宋_GBK"/>
          <w:sz w:val="44"/>
          <w:szCs w:val="44"/>
          <w:lang w:eastAsia="zh-CN"/>
        </w:rPr>
      </w:pPr>
      <w:r>
        <w:rPr>
          <w:rFonts w:eastAsia="方正小标宋_GBK"/>
          <w:sz w:val="44"/>
          <w:szCs w:val="44"/>
        </w:rPr>
        <w:t>实施方案》</w:t>
      </w:r>
      <w:r>
        <w:rPr>
          <w:rFonts w:hint="eastAsia" w:eastAsia="方正小标宋_GBK"/>
          <w:sz w:val="44"/>
          <w:szCs w:val="44"/>
          <w:lang w:eastAsia="zh-CN"/>
        </w:rPr>
        <w:t>政策解读</w:t>
      </w:r>
    </w:p>
    <w:p>
      <w:pPr>
        <w:spacing w:line="400" w:lineRule="exact"/>
        <w:ind w:firstLine="0" w:firstLineChars="0"/>
        <w:jc w:val="center"/>
        <w:rPr>
          <w:rFonts w:eastAsia="方正小标宋_GBK"/>
          <w:szCs w:val="32"/>
        </w:rPr>
      </w:pPr>
    </w:p>
    <w:p>
      <w:pPr>
        <w:spacing w:line="400" w:lineRule="exact"/>
        <w:ind w:firstLine="0" w:firstLineChars="0"/>
        <w:jc w:val="center"/>
        <w:rPr>
          <w:rFonts w:eastAsia="方正小标宋_GBK"/>
          <w:szCs w:val="32"/>
        </w:rPr>
      </w:pPr>
    </w:p>
    <w:p>
      <w:pPr>
        <w:spacing w:line="560" w:lineRule="exact"/>
        <w:ind w:firstLine="630"/>
        <w:rPr>
          <w:rFonts w:eastAsia="黑体"/>
          <w:szCs w:val="32"/>
        </w:rPr>
      </w:pPr>
      <w:r>
        <w:rPr>
          <w:rFonts w:eastAsia="黑体"/>
          <w:szCs w:val="32"/>
        </w:rPr>
        <w:t>一、《实施方案》起草背景</w:t>
      </w:r>
    </w:p>
    <w:p>
      <w:pPr>
        <w:ind w:firstLine="630"/>
        <w:rPr>
          <w:rFonts w:eastAsia="仿宋_GB2312"/>
          <w:szCs w:val="32"/>
        </w:rPr>
      </w:pPr>
      <w:r>
        <w:rPr>
          <w:rFonts w:eastAsia="仿宋_GB2312"/>
          <w:szCs w:val="32"/>
        </w:rPr>
        <w:t>深入贯彻习近平新时代中国特色社会主义思想，全面落实《省委办公厅、省政府办公厅关于印发&lt;江苏省化工产业安全环保整治提升方案&gt;的通知》（苏办〔2019〕96号）文件精神，在全市组织开展化工产业安全环保整治提升专项行动，着力优化化工产业布局，加强化工园区（集中区）整治，压减低端低效化工产能，严格化工行业安全环保监管，推动化工产业安全发展、绿色发展、高质量发展。</w:t>
      </w:r>
    </w:p>
    <w:p>
      <w:pPr>
        <w:spacing w:line="560" w:lineRule="exact"/>
        <w:ind w:firstLine="630"/>
        <w:rPr>
          <w:rFonts w:eastAsia="黑体"/>
          <w:szCs w:val="32"/>
        </w:rPr>
      </w:pPr>
      <w:r>
        <w:rPr>
          <w:rFonts w:eastAsia="黑体"/>
          <w:szCs w:val="32"/>
        </w:rPr>
        <w:t>二、《实施方案》主要依据</w:t>
      </w:r>
    </w:p>
    <w:p>
      <w:pPr>
        <w:spacing w:line="560" w:lineRule="exact"/>
        <w:ind w:firstLine="474" w:firstLineChars="150"/>
        <w:rPr>
          <w:rFonts w:eastAsia="仿宋_GB2312"/>
          <w:szCs w:val="32"/>
        </w:rPr>
      </w:pPr>
      <w:r>
        <w:rPr>
          <w:rFonts w:eastAsia="仿宋_GB2312"/>
          <w:szCs w:val="32"/>
        </w:rPr>
        <w:t>《实施方案》主要依据《省委办公厅省政府办公厅关于印发&lt;江苏省化工产业安全环保整治提升方案&gt;的通知》（苏办〔2019〕96号）、《省委办公厅省政府办公厅关于印发&lt;关于加快全省化工钢铁煤电行业转型升级高质量发展的实施意见&gt;的通知》（苏办发〔2018〕32号）、《省政府办公厅关于印发&lt;全省沿海化工园区（集中区）整治工作方案&gt;的通知》 (苏政办发〔2018〕46号)等文件精神，以及市委、市政府关于化工行业整治提升的部署和要求。</w:t>
      </w:r>
    </w:p>
    <w:p>
      <w:pPr>
        <w:spacing w:line="560" w:lineRule="exact"/>
        <w:ind w:firstLine="630"/>
        <w:rPr>
          <w:rFonts w:eastAsia="黑体"/>
          <w:szCs w:val="32"/>
        </w:rPr>
      </w:pPr>
      <w:r>
        <w:rPr>
          <w:rFonts w:hint="eastAsia" w:eastAsia="黑体"/>
          <w:szCs w:val="32"/>
          <w:lang w:eastAsia="zh-CN"/>
        </w:rPr>
        <w:t>三</w:t>
      </w:r>
      <w:r>
        <w:rPr>
          <w:rFonts w:eastAsia="黑体"/>
          <w:szCs w:val="32"/>
        </w:rPr>
        <w:t>、《实施方案》主要内容</w:t>
      </w:r>
    </w:p>
    <w:p>
      <w:pPr>
        <w:spacing w:line="580" w:lineRule="exact"/>
        <w:ind w:firstLine="630"/>
        <w:rPr>
          <w:rFonts w:eastAsia="仿宋_GB2312"/>
          <w:szCs w:val="32"/>
        </w:rPr>
      </w:pPr>
      <w:r>
        <w:rPr>
          <w:rFonts w:eastAsia="仿宋_GB2312"/>
          <w:szCs w:val="32"/>
        </w:rPr>
        <w:t>共分为九个部分，其中第二至第九部分</w:t>
      </w:r>
      <w:r>
        <w:rPr>
          <w:rFonts w:hint="eastAsia" w:eastAsia="仿宋_GB2312"/>
          <w:szCs w:val="32"/>
        </w:rPr>
        <w:t>包括</w:t>
      </w:r>
      <w:r>
        <w:rPr>
          <w:rFonts w:eastAsia="仿宋_GB2312"/>
          <w:szCs w:val="32"/>
        </w:rPr>
        <w:t>重点任务33项。</w:t>
      </w:r>
    </w:p>
    <w:p>
      <w:pPr>
        <w:spacing w:line="580" w:lineRule="exact"/>
        <w:ind w:firstLine="630"/>
        <w:rPr>
          <w:rFonts w:eastAsia="仿宋_GB2312"/>
        </w:rPr>
      </w:pPr>
      <w:r>
        <w:rPr>
          <w:rFonts w:eastAsia="楷体_GB2312"/>
          <w:szCs w:val="32"/>
        </w:rPr>
        <w:t>第一部分，总体要求。</w:t>
      </w:r>
      <w:r>
        <w:rPr>
          <w:rFonts w:eastAsia="仿宋_GB2312"/>
          <w:szCs w:val="32"/>
        </w:rPr>
        <w:t>提出</w:t>
      </w:r>
      <w:r>
        <w:rPr>
          <w:rFonts w:eastAsia="仿宋_GB2312"/>
        </w:rPr>
        <w:t>坚持以习近平新时代中国特色社会主义思想为指导，深入贯彻党的十九大精神，全面落实省委、省政府关于化工产业安全环保整治的决策部署，切实把思想和行动统一到市委、市政府的工作要求上来，进一步提高政治站位，高度重视化工产业安全环保整治提升工作。明确到2020年，全市化工产业布局明显优化，化工产业结构更加合理，龙头企业带动作用明显增强，产业链条更加清晰完善，化工园区基础设施和管理水平大幅提升，化工产业各类风险隐患努力实现可防可控。</w:t>
      </w:r>
    </w:p>
    <w:p>
      <w:pPr>
        <w:spacing w:line="580" w:lineRule="exact"/>
        <w:ind w:firstLine="630"/>
        <w:rPr>
          <w:rFonts w:eastAsia="仿宋_GB2312"/>
          <w:szCs w:val="32"/>
        </w:rPr>
      </w:pPr>
      <w:r>
        <w:rPr>
          <w:rFonts w:eastAsia="楷体_GB2312"/>
          <w:szCs w:val="32"/>
        </w:rPr>
        <w:t>第二部分，优化提升化工产业布局。</w:t>
      </w:r>
      <w:r>
        <w:rPr>
          <w:rFonts w:eastAsia="仿宋_GB2312"/>
        </w:rPr>
        <w:t>主要</w:t>
      </w:r>
      <w:r>
        <w:rPr>
          <w:rFonts w:hint="eastAsia" w:eastAsia="仿宋_GB2312"/>
        </w:rPr>
        <w:t>包括</w:t>
      </w:r>
      <w:r>
        <w:rPr>
          <w:rFonts w:eastAsia="仿宋_GB2312"/>
        </w:rPr>
        <w:t>依法推进落实整治任务</w:t>
      </w:r>
      <w:r>
        <w:rPr>
          <w:rFonts w:hint="eastAsia" w:eastAsia="仿宋_GB2312"/>
        </w:rPr>
        <w:t>、</w:t>
      </w:r>
      <w:r>
        <w:rPr>
          <w:rFonts w:eastAsia="仿宋_GB2312"/>
        </w:rPr>
        <w:t>分类施策压减化工企业数量</w:t>
      </w:r>
      <w:r>
        <w:rPr>
          <w:rFonts w:hint="eastAsia" w:eastAsia="仿宋_GB2312"/>
        </w:rPr>
        <w:t>、</w:t>
      </w:r>
      <w:r>
        <w:rPr>
          <w:rFonts w:eastAsia="仿宋_GB2312"/>
        </w:rPr>
        <w:t>加快城镇人口密集区危险化学品生产企业搬迁改造</w:t>
      </w:r>
      <w:r>
        <w:rPr>
          <w:rFonts w:hint="eastAsia" w:eastAsia="仿宋_GB2312"/>
        </w:rPr>
        <w:t>、</w:t>
      </w:r>
      <w:r>
        <w:rPr>
          <w:rFonts w:eastAsia="仿宋_GB2312"/>
        </w:rPr>
        <w:t>高水平建设优质化工项目</w:t>
      </w:r>
      <w:r>
        <w:rPr>
          <w:rFonts w:hint="eastAsia" w:eastAsia="仿宋_GB2312"/>
        </w:rPr>
        <w:t>、</w:t>
      </w:r>
      <w:r>
        <w:rPr>
          <w:rFonts w:eastAsia="仿宋_GB2312"/>
        </w:rPr>
        <w:t>高标准建设国家级石化产业基地5项工作</w:t>
      </w:r>
      <w:r>
        <w:rPr>
          <w:rFonts w:eastAsia="仿宋_GB2312"/>
          <w:szCs w:val="32"/>
        </w:rPr>
        <w:t>。提出对所有化工生产企业开展评估，提出“一企一策”具体处置意见；通榆河清水通道沿岸两侧1公里范围内的化工生产企业，位于生态保护红线区域、自然保护区、饮用水水源保护区的化工生产企业，达不到有关安全环境卫生等标准的城镇人口密集区危险化学品生产企业，2020年底前关闭或搬迁；按照环保安全、工艺设备、投入产出、品质品牌四个“世界一流”标准，加快推进重大产业项目建设，积极培育一批千亿级龙头企业，高标准建设好国家级石化产业基地。</w:t>
      </w:r>
    </w:p>
    <w:p>
      <w:pPr>
        <w:spacing w:line="580" w:lineRule="exact"/>
        <w:ind w:firstLine="630"/>
        <w:rPr>
          <w:rFonts w:eastAsia="仿宋_GB2312"/>
          <w:szCs w:val="32"/>
        </w:rPr>
      </w:pPr>
      <w:r>
        <w:rPr>
          <w:rFonts w:eastAsia="楷体_GB2312"/>
          <w:szCs w:val="32"/>
        </w:rPr>
        <w:t>第三部分，加大化工园区（集中区）整治提升力度。</w:t>
      </w:r>
      <w:r>
        <w:rPr>
          <w:rFonts w:eastAsia="仿宋_GB2312"/>
          <w:szCs w:val="32"/>
        </w:rPr>
        <w:t>主要包括扎实开展园区集中整治、提升园区发展和管理水平、严格化工集中区管理等3项工作。</w:t>
      </w:r>
      <w:r>
        <w:rPr>
          <w:rFonts w:eastAsia="仿宋_GB2312"/>
          <w:spacing w:val="-2"/>
          <w:szCs w:val="32"/>
        </w:rPr>
        <w:t>提出对全市化工园区（集中区）进行再评价，扎实开展化工园区（集中区）集中整治，提出“一园一策”具体处置意见；明确化工园区产业定位并重点发展1—2条主导产业链，依托龙头企业发展上下游关联度强、技术水平高、绿色安全可控的企业和项目，打造高水平化工园区；严格化工集中区管理，对集中区内生产储存设施与人口密集区域、重点防护目标之间的安全距离进行再确认，不符合要求的立即整改，逾期整改不到位的关闭退出。</w:t>
      </w:r>
    </w:p>
    <w:p>
      <w:pPr>
        <w:spacing w:line="580" w:lineRule="exact"/>
        <w:ind w:firstLine="630"/>
        <w:rPr>
          <w:rFonts w:eastAsia="仿宋_GB2312"/>
          <w:szCs w:val="32"/>
        </w:rPr>
      </w:pPr>
      <w:r>
        <w:rPr>
          <w:rFonts w:eastAsia="楷体_GB2312"/>
          <w:szCs w:val="32"/>
        </w:rPr>
        <w:t>第四部分，提高化工产业准入门槛。</w:t>
      </w:r>
      <w:r>
        <w:rPr>
          <w:rFonts w:eastAsia="仿宋_GB2312"/>
          <w:szCs w:val="32"/>
        </w:rPr>
        <w:t>主要包括强化项目投资强度、强化负面清单管理、强化企业本质安全要求等3项工作。提出从安全、环保、技术、投资和用地等方面严格准入门槛，高标准招引市场前景好、工艺技术水平高、安全环保先进、产业带动力强的化工项目，新建化工项目原则上投资额不低于10亿元；认真贯彻落实长江经济带发展负面清单指南，严格执行国家和省产业结构调整指导目录，禁止新（扩）建农药、医药和染料中间体化工项目；建立科学、系统、主动、超前和全面的事故预防体系，确保技术、工艺、设备、人员和管理等各个环节安全可控。</w:t>
      </w:r>
    </w:p>
    <w:p>
      <w:pPr>
        <w:spacing w:line="580" w:lineRule="exact"/>
        <w:ind w:firstLine="630"/>
        <w:rPr>
          <w:rFonts w:eastAsia="仿宋_GB2312"/>
          <w:szCs w:val="32"/>
        </w:rPr>
      </w:pPr>
      <w:r>
        <w:rPr>
          <w:rFonts w:eastAsia="楷体_GB2312"/>
          <w:szCs w:val="32"/>
        </w:rPr>
        <w:t>第五部分，严格化工生产企业经营管理。</w:t>
      </w:r>
      <w:r>
        <w:rPr>
          <w:rFonts w:eastAsia="仿宋_GB2312"/>
          <w:szCs w:val="32"/>
        </w:rPr>
        <w:t>主要内容包括强化企业主体责任、提高从业人员专业化素质、规范企业设计建设、依法依规参加社会和商业保险、推动化工企业实施质量和管理体系认证等5项工作。提出企业必须严格履行安全生产和环境保护法定责任，落实全员安全生产责任制和一岗双责制度，制定年度安全环保工作目标；必须由实际控制人担任企业法定代表人，实际控制人为企业安全生产和环境保护第一责任人；必须严格执行企业负责人现场带班制度，及时处置重大异常生产情况和突发事件；必须按要求配足配齐安全环保管理人员，鼓励实行安全总监制度，编制完善应急处置预案，定期进行安全环保隐患排查、安全生产风险分析和安全环保应急演练，提升安全环保管理水平。</w:t>
      </w:r>
    </w:p>
    <w:p>
      <w:pPr>
        <w:spacing w:line="580" w:lineRule="exact"/>
        <w:ind w:firstLine="630"/>
        <w:rPr>
          <w:rFonts w:eastAsia="仿宋_GB2312"/>
          <w:szCs w:val="32"/>
        </w:rPr>
      </w:pPr>
      <w:r>
        <w:rPr>
          <w:rFonts w:eastAsia="楷体_GB2312"/>
          <w:szCs w:val="32"/>
        </w:rPr>
        <w:t>第六部分，加强化工行业监管。</w:t>
      </w:r>
      <w:r>
        <w:rPr>
          <w:rFonts w:eastAsia="仿宋_GB2312"/>
          <w:szCs w:val="32"/>
        </w:rPr>
        <w:t>主要内容包括强化全流程全过程监管、完善执法监管机制、加强信息化监管、严格危险废物处置管理、强化危险化学品安全监管专业力量建设、积极防范化解停产化工企业风险、严厉打击违法违规行为等7项工作。提出</w:t>
      </w:r>
      <w:r>
        <w:rPr>
          <w:rFonts w:eastAsia="仿宋_GB2312"/>
          <w:spacing w:val="-4"/>
          <w:szCs w:val="32"/>
        </w:rPr>
        <w:t>加强园区安全和环保基础设施以及风险防控能力建设，强化实时动态监控、执法行为全程记录等全过程监管，把化工园区打造成最严“特别监管区”；新建项目自动化控制系统装备率达100%，</w:t>
      </w:r>
      <w:r>
        <w:rPr>
          <w:rFonts w:eastAsia="仿宋_GB2312"/>
          <w:szCs w:val="32"/>
        </w:rPr>
        <w:t>到2020年底前，化工园区（集中区）内企业安全、环保等监控信息全部接入园区信息管理平台，重大危险源在线监测率达100%，实现风险隐患“一表清、一网控、一体防”；园区外企业基本实现安全、环保等监控信息与地方监管部门信息平台的对接。</w:t>
      </w:r>
    </w:p>
    <w:p>
      <w:pPr>
        <w:spacing w:line="580" w:lineRule="exact"/>
        <w:ind w:firstLine="630"/>
        <w:rPr>
          <w:rFonts w:eastAsia="仿宋_GB2312"/>
          <w:szCs w:val="32"/>
        </w:rPr>
      </w:pPr>
      <w:r>
        <w:rPr>
          <w:rFonts w:eastAsia="楷体_GB2312"/>
          <w:szCs w:val="32"/>
        </w:rPr>
        <w:t>第七部分，提升化工产业服务和救援能力。</w:t>
      </w:r>
      <w:r>
        <w:rPr>
          <w:rFonts w:eastAsia="仿宋_GB2312"/>
          <w:szCs w:val="32"/>
        </w:rPr>
        <w:t>主要内容包括提升化工产业支撑服务能力、提升化工消防应急救援能力、提升环境应急响应能力等3项工作。提出严格规范工程设计、安全评价和环境影响评价行为，加强对安全环保评价机构的日常监管；加强全市消防救援队伍化工专业队、重型化工编队等专业队建设，推动化工园区（集中区）消防站提档升级；强化突发环境事件风险防控基础设施建设，完善环境应急监控和应急响应系统建设，发挥水、空气环境质量自动监测预警系统作用，提升环境应急管理能力和水平。</w:t>
      </w:r>
    </w:p>
    <w:p>
      <w:pPr>
        <w:spacing w:line="580" w:lineRule="exact"/>
        <w:ind w:firstLine="630"/>
        <w:rPr>
          <w:rFonts w:eastAsia="仿宋_GB2312"/>
          <w:szCs w:val="32"/>
        </w:rPr>
      </w:pPr>
      <w:r>
        <w:rPr>
          <w:rFonts w:eastAsia="楷体_GB2312"/>
          <w:szCs w:val="32"/>
        </w:rPr>
        <w:t>第八部分，强化政策支持。</w:t>
      </w:r>
      <w:r>
        <w:rPr>
          <w:rFonts w:eastAsia="仿宋_GB2312"/>
          <w:szCs w:val="32"/>
        </w:rPr>
        <w:t>主要内容包括加大财政资金支持、落实搬迁优惠政策、建立资源激励约束机制等3项工作。提出进一步整合各类产业、环保、生态等财政资金，积极争取省级化工产业安全环保整治提升专项补助资金、化工产业结构调整投资基金支持，统筹用于化工产业安全环保整治提升；企业在政策性搬迁期间发生的搬迁收入和搬迁支出，按国家规定可暂不计入当期应纳税所得额；在搬入地环境容量限度内，搬迁升级项目在不增加能耗和排放总量的前提下作为技术改造项目进行审批，原能耗、排放指标减半随企业迁出。</w:t>
      </w:r>
    </w:p>
    <w:p>
      <w:pPr>
        <w:spacing w:line="580" w:lineRule="exact"/>
        <w:ind w:firstLine="630"/>
        <w:rPr>
          <w:rFonts w:eastAsia="仿宋_GB2312"/>
          <w:szCs w:val="32"/>
        </w:rPr>
      </w:pPr>
      <w:r>
        <w:rPr>
          <w:rFonts w:eastAsia="楷体_GB2312"/>
          <w:szCs w:val="32"/>
        </w:rPr>
        <w:t>第九部分，强化组织保障</w:t>
      </w:r>
      <w:r>
        <w:rPr>
          <w:rFonts w:eastAsia="仿宋_GB2312"/>
          <w:szCs w:val="32"/>
        </w:rPr>
        <w:t>。主要内容包括加强组织领导、强化责任落实、严格监督检查、切实转变作风等4项工作。提出坚持党政同责、“一岗双责”、齐抓共管、失职追责；市政府成立由分管副市长任组长，21个部门为成员单位的市化工产业安全环保整治提升领导小组，领导小组办公室设在市工信局，统筹推进整治提升工作；定期检查督查整治提升工作，加强信息记录和归集，强化舆论引导，畅通公众监督渠道。</w:t>
      </w:r>
    </w:p>
    <w:p>
      <w:pPr>
        <w:spacing w:line="580" w:lineRule="exact"/>
        <w:ind w:firstLine="630"/>
        <w:rPr>
          <w:rFonts w:eastAsia="仿宋_GB2312"/>
          <w:szCs w:val="32"/>
        </w:rPr>
      </w:pPr>
      <w:r>
        <w:rPr>
          <w:rFonts w:eastAsia="仿宋_GB2312"/>
          <w:szCs w:val="32"/>
        </w:rPr>
        <w:t>《实施方案》另有6个附件，</w:t>
      </w:r>
      <w:r>
        <w:rPr>
          <w:rFonts w:eastAsia="仿宋_GB2312"/>
        </w:rPr>
        <w:t>包括</w:t>
      </w:r>
      <w:r>
        <w:rPr>
          <w:rFonts w:eastAsia="仿宋_GB2312"/>
          <w:szCs w:val="32"/>
        </w:rPr>
        <w:t>化工产业整治提升安全生产标准要求，化工园区和化工企业环境管理要求，《国民经济行业分类》（GB/T4754-2017）代码251、261—266目录，化工园区“一园一策”处置意见表，化工生产企业“一企一策”处置意见表，化工生产企业“一企一策”处置意见汇总表。</w:t>
      </w:r>
    </w:p>
    <w:p>
      <w:pPr>
        <w:spacing w:line="580" w:lineRule="exact"/>
        <w:ind w:firstLine="630"/>
        <w:rPr>
          <w:rFonts w:ascii="黑体" w:hAnsi="黑体" w:eastAsia="黑体"/>
          <w:szCs w:val="32"/>
        </w:rPr>
      </w:pPr>
      <w:r>
        <w:rPr>
          <w:rFonts w:hint="eastAsia" w:ascii="黑体" w:hAnsi="黑体" w:eastAsia="黑体"/>
          <w:szCs w:val="32"/>
          <w:lang w:eastAsia="zh-CN"/>
        </w:rPr>
        <w:t>四</w:t>
      </w:r>
      <w:r>
        <w:rPr>
          <w:rFonts w:hint="eastAsia" w:ascii="黑体" w:hAnsi="黑体" w:eastAsia="黑体"/>
          <w:szCs w:val="32"/>
        </w:rPr>
        <w:t>、下一阶段工作计划</w:t>
      </w:r>
    </w:p>
    <w:p>
      <w:pPr>
        <w:spacing w:line="580" w:lineRule="exact"/>
        <w:ind w:firstLine="630"/>
        <w:jc w:val="left"/>
        <w:rPr>
          <w:rFonts w:eastAsia="仿宋_GB2312"/>
          <w:szCs w:val="32"/>
        </w:rPr>
      </w:pPr>
      <w:r>
        <w:rPr>
          <w:rFonts w:eastAsia="仿宋_GB2312"/>
          <w:szCs w:val="32"/>
        </w:rPr>
        <w:t>我们将深入贯彻落实</w:t>
      </w:r>
      <w:r>
        <w:rPr>
          <w:rFonts w:hint="eastAsia" w:eastAsia="仿宋_GB2312"/>
          <w:szCs w:val="32"/>
        </w:rPr>
        <w:t>《</w:t>
      </w:r>
      <w:r>
        <w:rPr>
          <w:rFonts w:eastAsia="仿宋_GB2312"/>
          <w:szCs w:val="32"/>
        </w:rPr>
        <w:t>连云港市化工产业安全环保整治提升实施方案》，</w:t>
      </w:r>
      <w:r>
        <w:rPr>
          <w:rFonts w:hint="eastAsia" w:eastAsia="仿宋_GB2312"/>
          <w:szCs w:val="32"/>
        </w:rPr>
        <w:t>建立健全组织机构，完善工作机制，积极</w:t>
      </w:r>
      <w:r>
        <w:rPr>
          <w:rFonts w:eastAsia="仿宋_GB2312"/>
          <w:szCs w:val="32"/>
        </w:rPr>
        <w:t>推进</w:t>
      </w:r>
      <w:r>
        <w:rPr>
          <w:rFonts w:hint="eastAsia" w:eastAsia="仿宋_GB2312"/>
          <w:szCs w:val="32"/>
        </w:rPr>
        <w:t>落实</w:t>
      </w:r>
      <w:r>
        <w:rPr>
          <w:rFonts w:eastAsia="仿宋_GB2312"/>
          <w:szCs w:val="32"/>
        </w:rPr>
        <w:t>，</w:t>
      </w:r>
      <w:r>
        <w:rPr>
          <w:rFonts w:hint="eastAsia" w:eastAsia="仿宋_GB2312"/>
          <w:szCs w:val="32"/>
        </w:rPr>
        <w:t>力争</w:t>
      </w:r>
      <w:r>
        <w:rPr>
          <w:rFonts w:eastAsia="仿宋_GB2312"/>
          <w:szCs w:val="32"/>
        </w:rPr>
        <w:t>高标准高质量高效率完成整治提升任务。</w:t>
      </w:r>
    </w:p>
    <w:p>
      <w:pPr>
        <w:spacing w:line="580" w:lineRule="exact"/>
        <w:ind w:firstLine="630"/>
        <w:jc w:val="left"/>
        <w:rPr>
          <w:rFonts w:eastAsia="仿宋_GB2312"/>
          <w:szCs w:val="32"/>
        </w:rPr>
      </w:pPr>
      <w:r>
        <w:rPr>
          <w:rFonts w:eastAsia="楷体_GB2312"/>
          <w:szCs w:val="32"/>
        </w:rPr>
        <w:t>（一）深入开展摸底排查。</w:t>
      </w:r>
      <w:r>
        <w:rPr>
          <w:rFonts w:eastAsia="仿宋_GB2312"/>
          <w:szCs w:val="32"/>
        </w:rPr>
        <w:t>在前期已经完成摸底排查的基础上，</w:t>
      </w:r>
      <w:r>
        <w:rPr>
          <w:rFonts w:hint="eastAsia" w:eastAsia="仿宋_GB2312"/>
          <w:szCs w:val="32"/>
        </w:rPr>
        <w:t>各县区</w:t>
      </w:r>
      <w:r>
        <w:rPr>
          <w:rFonts w:eastAsia="仿宋_GB2312"/>
          <w:szCs w:val="32"/>
        </w:rPr>
        <w:t>按照省里的最新标准和整治范围，对辖区内所有化工生产企业进行再次排查，开展从产品到技术、工艺、设备、专业人员、内部管理和外部监管的全方位、全过程排查，找准问题，抓好整治。市级将根据县区摸排评估情况，组织相关部门和专家，开展随机抽查，确保工作实效。</w:t>
      </w:r>
    </w:p>
    <w:p>
      <w:pPr>
        <w:spacing w:line="580" w:lineRule="exact"/>
        <w:ind w:firstLine="630"/>
        <w:rPr>
          <w:rFonts w:eastAsia="仿宋_GB2312"/>
          <w:szCs w:val="32"/>
        </w:rPr>
      </w:pPr>
      <w:r>
        <w:rPr>
          <w:rFonts w:eastAsia="楷体_GB2312"/>
          <w:szCs w:val="32"/>
        </w:rPr>
        <w:t>（二）全面评估处置意见。</w:t>
      </w:r>
      <w:r>
        <w:rPr>
          <w:rFonts w:eastAsia="仿宋_GB2312"/>
          <w:szCs w:val="32"/>
        </w:rPr>
        <w:t>一是化工生产企业“一企一策”处置意见。由</w:t>
      </w:r>
      <w:r>
        <w:rPr>
          <w:rFonts w:eastAsia="仿宋_GB2312"/>
          <w:kern w:val="0"/>
          <w:szCs w:val="32"/>
        </w:rPr>
        <w:t>各县区组织安全、环保、消防</w:t>
      </w:r>
      <w:r>
        <w:rPr>
          <w:rFonts w:hint="eastAsia" w:eastAsia="仿宋_GB2312"/>
          <w:kern w:val="0"/>
          <w:szCs w:val="32"/>
        </w:rPr>
        <w:t>部门</w:t>
      </w:r>
      <w:r>
        <w:rPr>
          <w:rFonts w:eastAsia="仿宋_GB2312"/>
          <w:kern w:val="0"/>
          <w:szCs w:val="32"/>
        </w:rPr>
        <w:t>，围绕省、市整治标准和管理要求，全面评估企业整治提升的可行性，提前考虑整治提升可能面临的障碍和风险，</w:t>
      </w:r>
      <w:r>
        <w:rPr>
          <w:rFonts w:hint="eastAsia" w:eastAsia="仿宋_GB2312"/>
          <w:kern w:val="0"/>
          <w:szCs w:val="32"/>
        </w:rPr>
        <w:t>6月12日前</w:t>
      </w:r>
      <w:r>
        <w:rPr>
          <w:rFonts w:eastAsia="仿宋_GB2312"/>
          <w:kern w:val="0"/>
          <w:szCs w:val="32"/>
        </w:rPr>
        <w:t>提出关闭退出、异地迁建、就地整治提升等“一企一策”处置意见报市里汇总。二是化工园区“一园一策”处置意见。市委、市政府组织相关部门和专家，对县区上报的“一园一策”处置意见进集中会商，综合评估化工园区整治情况，提出明确的处置意见报省。</w:t>
      </w:r>
      <w:r>
        <w:rPr>
          <w:rFonts w:hint="eastAsia" w:eastAsia="仿宋_GB2312"/>
          <w:kern w:val="0"/>
          <w:szCs w:val="32"/>
        </w:rPr>
        <w:t>6</w:t>
      </w:r>
      <w:r>
        <w:rPr>
          <w:rFonts w:eastAsia="仿宋_GB2312"/>
          <w:kern w:val="0"/>
          <w:szCs w:val="32"/>
        </w:rPr>
        <w:t>月底前，</w:t>
      </w:r>
      <w:r>
        <w:rPr>
          <w:rFonts w:hint="eastAsia" w:eastAsia="仿宋_GB2312"/>
          <w:kern w:val="0"/>
          <w:szCs w:val="32"/>
        </w:rPr>
        <w:t>市级层面</w:t>
      </w:r>
      <w:r>
        <w:rPr>
          <w:rFonts w:eastAsia="仿宋_GB2312"/>
          <w:kern w:val="0"/>
          <w:szCs w:val="32"/>
        </w:rPr>
        <w:t>完成“一企一策”和“一园一策”</w:t>
      </w:r>
      <w:r>
        <w:rPr>
          <w:rFonts w:hint="eastAsia" w:eastAsia="仿宋_GB2312"/>
          <w:kern w:val="0"/>
          <w:szCs w:val="32"/>
        </w:rPr>
        <w:t>综合</w:t>
      </w:r>
      <w:r>
        <w:rPr>
          <w:rFonts w:eastAsia="仿宋_GB2312"/>
          <w:kern w:val="0"/>
          <w:szCs w:val="32"/>
        </w:rPr>
        <w:t>处置意见，经公安部门社会稳定风险评估后上报</w:t>
      </w:r>
      <w:r>
        <w:rPr>
          <w:rFonts w:hint="eastAsia" w:eastAsia="仿宋_GB2312"/>
          <w:kern w:val="0"/>
          <w:szCs w:val="32"/>
        </w:rPr>
        <w:t>省里</w:t>
      </w:r>
      <w:r>
        <w:rPr>
          <w:rFonts w:eastAsia="仿宋_GB2312"/>
          <w:kern w:val="0"/>
          <w:szCs w:val="32"/>
        </w:rPr>
        <w:t>。</w:t>
      </w:r>
    </w:p>
    <w:p>
      <w:pPr>
        <w:spacing w:line="580" w:lineRule="exact"/>
        <w:ind w:firstLine="630"/>
        <w:rPr>
          <w:rFonts w:eastAsia="仿宋_GB2312"/>
          <w:kern w:val="0"/>
          <w:szCs w:val="32"/>
        </w:rPr>
      </w:pPr>
      <w:r>
        <w:rPr>
          <w:rFonts w:eastAsia="楷体_GB2312"/>
          <w:szCs w:val="32"/>
        </w:rPr>
        <w:t>（三）分类分步整治提升。</w:t>
      </w:r>
      <w:r>
        <w:rPr>
          <w:rFonts w:eastAsia="仿宋_GB2312"/>
          <w:szCs w:val="32"/>
        </w:rPr>
        <w:t>严格落实化工企业复产要求，按照县级核查、市级复核的工作流程，对仍在生产的企业或提出复产申请的停产企业，由各县区组织生态环境、应急管理、消防部门进行核查，聘请专家参与，严格对照标准，逐家逐项核查，经县级党政主要负责同志、三个部门主要负责同志签字同意后上报市政府。从6月份开始，</w:t>
      </w:r>
      <w:r>
        <w:rPr>
          <w:rFonts w:hint="eastAsia" w:eastAsia="仿宋_GB2312"/>
          <w:szCs w:val="32"/>
        </w:rPr>
        <w:t>市级</w:t>
      </w:r>
      <w:r>
        <w:rPr>
          <w:rFonts w:eastAsia="仿宋_GB2312"/>
          <w:szCs w:val="32"/>
        </w:rPr>
        <w:t>生态环境、应急管理、消防部门</w:t>
      </w:r>
      <w:r>
        <w:rPr>
          <w:rFonts w:hint="eastAsia" w:eastAsia="仿宋_GB2312"/>
          <w:szCs w:val="32"/>
        </w:rPr>
        <w:t>和</w:t>
      </w:r>
      <w:r>
        <w:rPr>
          <w:rFonts w:eastAsia="仿宋_GB2312"/>
          <w:szCs w:val="32"/>
        </w:rPr>
        <w:t>相关专家，</w:t>
      </w:r>
      <w:r>
        <w:rPr>
          <w:rFonts w:hint="eastAsia" w:eastAsia="仿宋_GB2312"/>
          <w:szCs w:val="32"/>
        </w:rPr>
        <w:t>将</w:t>
      </w:r>
      <w:r>
        <w:rPr>
          <w:rFonts w:eastAsia="仿宋_GB2312"/>
          <w:szCs w:val="32"/>
        </w:rPr>
        <w:t>对通过县级</w:t>
      </w:r>
      <w:bookmarkStart w:id="0" w:name="_GoBack"/>
      <w:bookmarkEnd w:id="0"/>
      <w:r>
        <w:rPr>
          <w:rFonts w:eastAsia="仿宋_GB2312"/>
          <w:szCs w:val="32"/>
        </w:rPr>
        <w:t>核查的企业进行全面复核，市级三个部门主要负责同志签字同意报市政府分管领导同意后方可继续生产或恢复生产。未通过市级复核的企业一律停产整治，整治到位后再按规定程序执行。加大化工园区整治力度，聚焦工程类等重点难点事项，聚力攻坚克难，</w:t>
      </w:r>
      <w:r>
        <w:rPr>
          <w:rFonts w:hint="eastAsia" w:eastAsia="仿宋_GB2312"/>
          <w:kern w:val="0"/>
          <w:szCs w:val="32"/>
        </w:rPr>
        <w:t>9</w:t>
      </w:r>
      <w:r>
        <w:rPr>
          <w:rFonts w:eastAsia="仿宋_GB2312"/>
          <w:kern w:val="0"/>
          <w:szCs w:val="32"/>
        </w:rPr>
        <w:t>月底前，达到省级考核验收条件。</w:t>
      </w:r>
    </w:p>
    <w:p>
      <w:pPr>
        <w:spacing w:line="560" w:lineRule="exact"/>
        <w:ind w:firstLine="630"/>
        <w:rPr>
          <w:rFonts w:eastAsia="仿宋_GB2312"/>
        </w:rPr>
      </w:pPr>
    </w:p>
    <w:sectPr>
      <w:headerReference r:id="rId5" w:type="first"/>
      <w:headerReference r:id="rId3" w:type="default"/>
      <w:footerReference r:id="rId6" w:type="default"/>
      <w:headerReference r:id="rId4" w:type="even"/>
      <w:footerReference r:id="rId7" w:type="even"/>
      <w:pgSz w:w="11906" w:h="16838"/>
      <w:pgMar w:top="1701" w:right="1474" w:bottom="1588" w:left="1588" w:header="720" w:footer="1191" w:gutter="0"/>
      <w:pgNumType w:start="1"/>
      <w:cols w:space="720" w:num="1"/>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916815"/>
      <w:docPartObj>
        <w:docPartGallery w:val="AutoText"/>
      </w:docPartObj>
    </w:sdtPr>
    <w:sdtEndPr>
      <w:rPr>
        <w:rFonts w:ascii="宋体" w:hAnsi="宋体" w:eastAsia="宋体"/>
      </w:rPr>
    </w:sdtEndPr>
    <w:sdtContent>
      <w:p>
        <w:pPr>
          <w:pStyle w:val="4"/>
          <w:jc w:val="center"/>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lang w:val="zh-CN"/>
          </w:rPr>
          <w:t>4</w:t>
        </w:r>
        <w:r>
          <w:rPr>
            <w:rFonts w:ascii="宋体" w:hAnsi="宋体" w:eastAsia="宋体"/>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640"/>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1"/>
  <w:bordersDoNotSurroundFooter w:val="1"/>
  <w:hideGrammaticalErrors/>
  <w:documentProtection w:enforcement="0"/>
  <w:defaultTabStop w:val="420"/>
  <w:drawingGridHorizontalSpacing w:val="160"/>
  <w:drawingGridVerticalSpacing w:val="435"/>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2BB"/>
    <w:rsid w:val="00002C55"/>
    <w:rsid w:val="00003CDC"/>
    <w:rsid w:val="000049F7"/>
    <w:rsid w:val="00006753"/>
    <w:rsid w:val="00021431"/>
    <w:rsid w:val="00021E45"/>
    <w:rsid w:val="00022FC4"/>
    <w:rsid w:val="00023E40"/>
    <w:rsid w:val="000241C0"/>
    <w:rsid w:val="00030C5F"/>
    <w:rsid w:val="00040D10"/>
    <w:rsid w:val="0004164F"/>
    <w:rsid w:val="0004246F"/>
    <w:rsid w:val="00043BD1"/>
    <w:rsid w:val="000500C7"/>
    <w:rsid w:val="00053A1F"/>
    <w:rsid w:val="00054FEF"/>
    <w:rsid w:val="00057522"/>
    <w:rsid w:val="00073C62"/>
    <w:rsid w:val="00074368"/>
    <w:rsid w:val="0007636C"/>
    <w:rsid w:val="00076524"/>
    <w:rsid w:val="0008430D"/>
    <w:rsid w:val="000852FA"/>
    <w:rsid w:val="0009465C"/>
    <w:rsid w:val="000A4C69"/>
    <w:rsid w:val="000A6D5B"/>
    <w:rsid w:val="000B25D8"/>
    <w:rsid w:val="000B71D8"/>
    <w:rsid w:val="000C45DB"/>
    <w:rsid w:val="000C4AF5"/>
    <w:rsid w:val="000C5F06"/>
    <w:rsid w:val="000C6356"/>
    <w:rsid w:val="000C7640"/>
    <w:rsid w:val="000C7679"/>
    <w:rsid w:val="000C7F09"/>
    <w:rsid w:val="000D613A"/>
    <w:rsid w:val="000E513F"/>
    <w:rsid w:val="000E5586"/>
    <w:rsid w:val="000F1251"/>
    <w:rsid w:val="000F16BE"/>
    <w:rsid w:val="000F2CDC"/>
    <w:rsid w:val="000F53F1"/>
    <w:rsid w:val="00101256"/>
    <w:rsid w:val="00114B15"/>
    <w:rsid w:val="00116491"/>
    <w:rsid w:val="0011757C"/>
    <w:rsid w:val="001259E1"/>
    <w:rsid w:val="001317A4"/>
    <w:rsid w:val="00136C7C"/>
    <w:rsid w:val="001411F9"/>
    <w:rsid w:val="001449E0"/>
    <w:rsid w:val="00152E93"/>
    <w:rsid w:val="00160CC7"/>
    <w:rsid w:val="0016274B"/>
    <w:rsid w:val="00165187"/>
    <w:rsid w:val="00167094"/>
    <w:rsid w:val="001710A8"/>
    <w:rsid w:val="00171292"/>
    <w:rsid w:val="0017226F"/>
    <w:rsid w:val="00172FD6"/>
    <w:rsid w:val="00173964"/>
    <w:rsid w:val="00181FC0"/>
    <w:rsid w:val="00182B62"/>
    <w:rsid w:val="001854C8"/>
    <w:rsid w:val="00193523"/>
    <w:rsid w:val="00193D77"/>
    <w:rsid w:val="00194E4B"/>
    <w:rsid w:val="001A1544"/>
    <w:rsid w:val="001A19E5"/>
    <w:rsid w:val="001A49ED"/>
    <w:rsid w:val="001A5AEC"/>
    <w:rsid w:val="001B57EB"/>
    <w:rsid w:val="001B777E"/>
    <w:rsid w:val="001C1956"/>
    <w:rsid w:val="001C1DEE"/>
    <w:rsid w:val="001C5AF6"/>
    <w:rsid w:val="001C69F6"/>
    <w:rsid w:val="001C79AF"/>
    <w:rsid w:val="001C79F7"/>
    <w:rsid w:val="001C7BEF"/>
    <w:rsid w:val="001E170B"/>
    <w:rsid w:val="001E38A5"/>
    <w:rsid w:val="001F7072"/>
    <w:rsid w:val="002037E0"/>
    <w:rsid w:val="00206653"/>
    <w:rsid w:val="002067E4"/>
    <w:rsid w:val="00207A52"/>
    <w:rsid w:val="00210E7D"/>
    <w:rsid w:val="00216ACF"/>
    <w:rsid w:val="00217BBC"/>
    <w:rsid w:val="00217C53"/>
    <w:rsid w:val="0022096A"/>
    <w:rsid w:val="0022281F"/>
    <w:rsid w:val="002252E5"/>
    <w:rsid w:val="0022740B"/>
    <w:rsid w:val="00230B3A"/>
    <w:rsid w:val="00235D39"/>
    <w:rsid w:val="002361D3"/>
    <w:rsid w:val="00244F34"/>
    <w:rsid w:val="00245A6F"/>
    <w:rsid w:val="00246DAB"/>
    <w:rsid w:val="00251D43"/>
    <w:rsid w:val="00254202"/>
    <w:rsid w:val="00263CF1"/>
    <w:rsid w:val="00266B17"/>
    <w:rsid w:val="00267911"/>
    <w:rsid w:val="002729DF"/>
    <w:rsid w:val="002762FF"/>
    <w:rsid w:val="00280F01"/>
    <w:rsid w:val="00282E18"/>
    <w:rsid w:val="002914FC"/>
    <w:rsid w:val="0029307F"/>
    <w:rsid w:val="00295397"/>
    <w:rsid w:val="002A0E83"/>
    <w:rsid w:val="002A66DC"/>
    <w:rsid w:val="002B1D2E"/>
    <w:rsid w:val="002B29A3"/>
    <w:rsid w:val="002B3758"/>
    <w:rsid w:val="002B54FA"/>
    <w:rsid w:val="002B7899"/>
    <w:rsid w:val="002C1196"/>
    <w:rsid w:val="002C6F43"/>
    <w:rsid w:val="002D6EA5"/>
    <w:rsid w:val="002E1F01"/>
    <w:rsid w:val="002E2D72"/>
    <w:rsid w:val="002E4D26"/>
    <w:rsid w:val="002F06AF"/>
    <w:rsid w:val="002F1A24"/>
    <w:rsid w:val="002F42CF"/>
    <w:rsid w:val="003120A4"/>
    <w:rsid w:val="00315938"/>
    <w:rsid w:val="00322AA0"/>
    <w:rsid w:val="00322C2E"/>
    <w:rsid w:val="003350E1"/>
    <w:rsid w:val="003356B2"/>
    <w:rsid w:val="00336A4C"/>
    <w:rsid w:val="00336C3A"/>
    <w:rsid w:val="00337B1A"/>
    <w:rsid w:val="00337E83"/>
    <w:rsid w:val="00340AD4"/>
    <w:rsid w:val="0034138B"/>
    <w:rsid w:val="003417E1"/>
    <w:rsid w:val="003652E6"/>
    <w:rsid w:val="00377149"/>
    <w:rsid w:val="00384EF6"/>
    <w:rsid w:val="003A4222"/>
    <w:rsid w:val="003A5FFA"/>
    <w:rsid w:val="003A6227"/>
    <w:rsid w:val="003A6954"/>
    <w:rsid w:val="003A69C2"/>
    <w:rsid w:val="003A781F"/>
    <w:rsid w:val="003B4B7E"/>
    <w:rsid w:val="003B6C82"/>
    <w:rsid w:val="003C0204"/>
    <w:rsid w:val="003C3921"/>
    <w:rsid w:val="003C625D"/>
    <w:rsid w:val="003C6547"/>
    <w:rsid w:val="003C720E"/>
    <w:rsid w:val="003D1A4D"/>
    <w:rsid w:val="003D239A"/>
    <w:rsid w:val="003D3887"/>
    <w:rsid w:val="003E651D"/>
    <w:rsid w:val="003E7099"/>
    <w:rsid w:val="003F36A2"/>
    <w:rsid w:val="003F655D"/>
    <w:rsid w:val="0040193C"/>
    <w:rsid w:val="00401A34"/>
    <w:rsid w:val="00404CC0"/>
    <w:rsid w:val="00406B15"/>
    <w:rsid w:val="004072AD"/>
    <w:rsid w:val="00410137"/>
    <w:rsid w:val="0041436C"/>
    <w:rsid w:val="00422466"/>
    <w:rsid w:val="004311EB"/>
    <w:rsid w:val="00431445"/>
    <w:rsid w:val="00431474"/>
    <w:rsid w:val="0043754E"/>
    <w:rsid w:val="00442BCA"/>
    <w:rsid w:val="0044672F"/>
    <w:rsid w:val="00457503"/>
    <w:rsid w:val="004600D9"/>
    <w:rsid w:val="0046146E"/>
    <w:rsid w:val="00465E7A"/>
    <w:rsid w:val="004704F9"/>
    <w:rsid w:val="004708FC"/>
    <w:rsid w:val="00471430"/>
    <w:rsid w:val="00471E62"/>
    <w:rsid w:val="00487F4B"/>
    <w:rsid w:val="004922D7"/>
    <w:rsid w:val="004A0915"/>
    <w:rsid w:val="004A091C"/>
    <w:rsid w:val="004A2528"/>
    <w:rsid w:val="004A442C"/>
    <w:rsid w:val="004B137D"/>
    <w:rsid w:val="004B5782"/>
    <w:rsid w:val="004B6ADC"/>
    <w:rsid w:val="004E14A9"/>
    <w:rsid w:val="004E4212"/>
    <w:rsid w:val="004F16D3"/>
    <w:rsid w:val="004F171C"/>
    <w:rsid w:val="004F20FE"/>
    <w:rsid w:val="005119B8"/>
    <w:rsid w:val="005158DF"/>
    <w:rsid w:val="005219C9"/>
    <w:rsid w:val="00521C6F"/>
    <w:rsid w:val="00524F59"/>
    <w:rsid w:val="00525216"/>
    <w:rsid w:val="00536A6B"/>
    <w:rsid w:val="00541B92"/>
    <w:rsid w:val="005479CE"/>
    <w:rsid w:val="005519A6"/>
    <w:rsid w:val="00555CEA"/>
    <w:rsid w:val="00560B6E"/>
    <w:rsid w:val="00560DE8"/>
    <w:rsid w:val="0056637C"/>
    <w:rsid w:val="00567385"/>
    <w:rsid w:val="00571BAE"/>
    <w:rsid w:val="00584FE4"/>
    <w:rsid w:val="0058675F"/>
    <w:rsid w:val="00587DB6"/>
    <w:rsid w:val="005A0532"/>
    <w:rsid w:val="005A2FBF"/>
    <w:rsid w:val="005A4E15"/>
    <w:rsid w:val="005A5B74"/>
    <w:rsid w:val="005C2BC2"/>
    <w:rsid w:val="005C3913"/>
    <w:rsid w:val="005C6182"/>
    <w:rsid w:val="005C6E74"/>
    <w:rsid w:val="005C71FC"/>
    <w:rsid w:val="005D73C5"/>
    <w:rsid w:val="005E3652"/>
    <w:rsid w:val="005F5CC8"/>
    <w:rsid w:val="00600AB7"/>
    <w:rsid w:val="00603743"/>
    <w:rsid w:val="006106D4"/>
    <w:rsid w:val="006216DA"/>
    <w:rsid w:val="0063125C"/>
    <w:rsid w:val="0063432B"/>
    <w:rsid w:val="0063691F"/>
    <w:rsid w:val="00641ADA"/>
    <w:rsid w:val="006420EA"/>
    <w:rsid w:val="00645439"/>
    <w:rsid w:val="006547CF"/>
    <w:rsid w:val="0065743F"/>
    <w:rsid w:val="0065747A"/>
    <w:rsid w:val="00664531"/>
    <w:rsid w:val="00664E96"/>
    <w:rsid w:val="00666FEA"/>
    <w:rsid w:val="006707A4"/>
    <w:rsid w:val="00673C0D"/>
    <w:rsid w:val="00675CFB"/>
    <w:rsid w:val="00686276"/>
    <w:rsid w:val="00686527"/>
    <w:rsid w:val="00693F09"/>
    <w:rsid w:val="006A26FE"/>
    <w:rsid w:val="006B156D"/>
    <w:rsid w:val="006B274B"/>
    <w:rsid w:val="006C18DD"/>
    <w:rsid w:val="006C57B0"/>
    <w:rsid w:val="006C5C21"/>
    <w:rsid w:val="006C666D"/>
    <w:rsid w:val="006D01AF"/>
    <w:rsid w:val="006D02E2"/>
    <w:rsid w:val="006D333B"/>
    <w:rsid w:val="006D59B7"/>
    <w:rsid w:val="006E0E47"/>
    <w:rsid w:val="006E70E0"/>
    <w:rsid w:val="006F5886"/>
    <w:rsid w:val="007009C7"/>
    <w:rsid w:val="00703638"/>
    <w:rsid w:val="007072E2"/>
    <w:rsid w:val="00713490"/>
    <w:rsid w:val="007152BB"/>
    <w:rsid w:val="00717564"/>
    <w:rsid w:val="00720953"/>
    <w:rsid w:val="007215CF"/>
    <w:rsid w:val="00721742"/>
    <w:rsid w:val="00731291"/>
    <w:rsid w:val="007358A1"/>
    <w:rsid w:val="00735B6B"/>
    <w:rsid w:val="00737FC9"/>
    <w:rsid w:val="00753C11"/>
    <w:rsid w:val="00757D32"/>
    <w:rsid w:val="007645B6"/>
    <w:rsid w:val="007670F9"/>
    <w:rsid w:val="0076741B"/>
    <w:rsid w:val="007703A5"/>
    <w:rsid w:val="00771CA6"/>
    <w:rsid w:val="00776BE5"/>
    <w:rsid w:val="00784937"/>
    <w:rsid w:val="007856C1"/>
    <w:rsid w:val="00795166"/>
    <w:rsid w:val="00796E88"/>
    <w:rsid w:val="0079784E"/>
    <w:rsid w:val="007A69A6"/>
    <w:rsid w:val="007B058B"/>
    <w:rsid w:val="007B677A"/>
    <w:rsid w:val="007B79E2"/>
    <w:rsid w:val="007D0135"/>
    <w:rsid w:val="007D1B63"/>
    <w:rsid w:val="007D2DB2"/>
    <w:rsid w:val="007E37B6"/>
    <w:rsid w:val="007E57A9"/>
    <w:rsid w:val="007E6FBE"/>
    <w:rsid w:val="007F2FF8"/>
    <w:rsid w:val="0080095E"/>
    <w:rsid w:val="00801242"/>
    <w:rsid w:val="00803D69"/>
    <w:rsid w:val="00810AB2"/>
    <w:rsid w:val="00813B58"/>
    <w:rsid w:val="00821469"/>
    <w:rsid w:val="00823C99"/>
    <w:rsid w:val="00823CAF"/>
    <w:rsid w:val="008249C3"/>
    <w:rsid w:val="0083143C"/>
    <w:rsid w:val="00831D8E"/>
    <w:rsid w:val="008348C9"/>
    <w:rsid w:val="008378B3"/>
    <w:rsid w:val="008462EB"/>
    <w:rsid w:val="008478CA"/>
    <w:rsid w:val="00850F5E"/>
    <w:rsid w:val="00860005"/>
    <w:rsid w:val="00865020"/>
    <w:rsid w:val="008652B8"/>
    <w:rsid w:val="0086728F"/>
    <w:rsid w:val="00874B71"/>
    <w:rsid w:val="00876E39"/>
    <w:rsid w:val="008778C9"/>
    <w:rsid w:val="00882C0D"/>
    <w:rsid w:val="00883D73"/>
    <w:rsid w:val="00883E93"/>
    <w:rsid w:val="008A04FC"/>
    <w:rsid w:val="008A14EE"/>
    <w:rsid w:val="008A202F"/>
    <w:rsid w:val="008A2683"/>
    <w:rsid w:val="008A2CB6"/>
    <w:rsid w:val="008A40DE"/>
    <w:rsid w:val="008A78A0"/>
    <w:rsid w:val="008B329E"/>
    <w:rsid w:val="008C7F1F"/>
    <w:rsid w:val="008D21AD"/>
    <w:rsid w:val="008D51FC"/>
    <w:rsid w:val="008D6976"/>
    <w:rsid w:val="008D758D"/>
    <w:rsid w:val="008E61AD"/>
    <w:rsid w:val="008E6302"/>
    <w:rsid w:val="008F2C64"/>
    <w:rsid w:val="008F3452"/>
    <w:rsid w:val="008F4E4C"/>
    <w:rsid w:val="008F4FE9"/>
    <w:rsid w:val="009054D9"/>
    <w:rsid w:val="00910B09"/>
    <w:rsid w:val="00911136"/>
    <w:rsid w:val="00922B46"/>
    <w:rsid w:val="00924D48"/>
    <w:rsid w:val="009408E8"/>
    <w:rsid w:val="009413C9"/>
    <w:rsid w:val="009448B3"/>
    <w:rsid w:val="00951F5D"/>
    <w:rsid w:val="0096198C"/>
    <w:rsid w:val="0096303A"/>
    <w:rsid w:val="00973E59"/>
    <w:rsid w:val="00980CC0"/>
    <w:rsid w:val="00981454"/>
    <w:rsid w:val="009839B8"/>
    <w:rsid w:val="00995C91"/>
    <w:rsid w:val="009A0108"/>
    <w:rsid w:val="009A4173"/>
    <w:rsid w:val="009A68CF"/>
    <w:rsid w:val="009B0F79"/>
    <w:rsid w:val="009B5284"/>
    <w:rsid w:val="009B6636"/>
    <w:rsid w:val="009B7947"/>
    <w:rsid w:val="009C5F1C"/>
    <w:rsid w:val="009D09E8"/>
    <w:rsid w:val="009D1014"/>
    <w:rsid w:val="009D12C2"/>
    <w:rsid w:val="009D24E2"/>
    <w:rsid w:val="009D265E"/>
    <w:rsid w:val="009D6D76"/>
    <w:rsid w:val="009E4D86"/>
    <w:rsid w:val="009F736F"/>
    <w:rsid w:val="00A050FA"/>
    <w:rsid w:val="00A101A8"/>
    <w:rsid w:val="00A13D7F"/>
    <w:rsid w:val="00A13FF0"/>
    <w:rsid w:val="00A1667D"/>
    <w:rsid w:val="00A17E0D"/>
    <w:rsid w:val="00A21B93"/>
    <w:rsid w:val="00A21BB5"/>
    <w:rsid w:val="00A21D67"/>
    <w:rsid w:val="00A2489F"/>
    <w:rsid w:val="00A25002"/>
    <w:rsid w:val="00A26084"/>
    <w:rsid w:val="00A27EB2"/>
    <w:rsid w:val="00A35FD4"/>
    <w:rsid w:val="00A4191B"/>
    <w:rsid w:val="00A50831"/>
    <w:rsid w:val="00A51751"/>
    <w:rsid w:val="00A604C1"/>
    <w:rsid w:val="00A67BD4"/>
    <w:rsid w:val="00A70343"/>
    <w:rsid w:val="00A7288E"/>
    <w:rsid w:val="00A8067A"/>
    <w:rsid w:val="00A824B8"/>
    <w:rsid w:val="00A84033"/>
    <w:rsid w:val="00A84BBD"/>
    <w:rsid w:val="00A84FBC"/>
    <w:rsid w:val="00A875DB"/>
    <w:rsid w:val="00A8777F"/>
    <w:rsid w:val="00A9363D"/>
    <w:rsid w:val="00A940A0"/>
    <w:rsid w:val="00A94115"/>
    <w:rsid w:val="00AA0771"/>
    <w:rsid w:val="00AA37AD"/>
    <w:rsid w:val="00AA5495"/>
    <w:rsid w:val="00AA5C6F"/>
    <w:rsid w:val="00AA68FD"/>
    <w:rsid w:val="00AB0AC5"/>
    <w:rsid w:val="00AB1BB0"/>
    <w:rsid w:val="00AB20DE"/>
    <w:rsid w:val="00AB3312"/>
    <w:rsid w:val="00AB479A"/>
    <w:rsid w:val="00AB4903"/>
    <w:rsid w:val="00AC367D"/>
    <w:rsid w:val="00AC5842"/>
    <w:rsid w:val="00AD025B"/>
    <w:rsid w:val="00AD058B"/>
    <w:rsid w:val="00AD0E4D"/>
    <w:rsid w:val="00AD27D2"/>
    <w:rsid w:val="00AD4ABD"/>
    <w:rsid w:val="00AD6C4F"/>
    <w:rsid w:val="00AE1674"/>
    <w:rsid w:val="00AE488B"/>
    <w:rsid w:val="00B01F2C"/>
    <w:rsid w:val="00B0554A"/>
    <w:rsid w:val="00B113A4"/>
    <w:rsid w:val="00B17405"/>
    <w:rsid w:val="00B20532"/>
    <w:rsid w:val="00B36AA1"/>
    <w:rsid w:val="00B43DF3"/>
    <w:rsid w:val="00B5086C"/>
    <w:rsid w:val="00B5148E"/>
    <w:rsid w:val="00B60948"/>
    <w:rsid w:val="00B61DB1"/>
    <w:rsid w:val="00B64919"/>
    <w:rsid w:val="00B6660C"/>
    <w:rsid w:val="00B8159B"/>
    <w:rsid w:val="00B84B79"/>
    <w:rsid w:val="00B9385B"/>
    <w:rsid w:val="00B97E77"/>
    <w:rsid w:val="00BA3BB5"/>
    <w:rsid w:val="00BA5E86"/>
    <w:rsid w:val="00BB00D2"/>
    <w:rsid w:val="00BB0138"/>
    <w:rsid w:val="00BB2ED2"/>
    <w:rsid w:val="00BB5567"/>
    <w:rsid w:val="00BD0359"/>
    <w:rsid w:val="00BE1497"/>
    <w:rsid w:val="00BE4413"/>
    <w:rsid w:val="00BF52EE"/>
    <w:rsid w:val="00C02304"/>
    <w:rsid w:val="00C02B8E"/>
    <w:rsid w:val="00C11ACC"/>
    <w:rsid w:val="00C11B16"/>
    <w:rsid w:val="00C123BE"/>
    <w:rsid w:val="00C14839"/>
    <w:rsid w:val="00C14D91"/>
    <w:rsid w:val="00C20E30"/>
    <w:rsid w:val="00C239CD"/>
    <w:rsid w:val="00C2686C"/>
    <w:rsid w:val="00C26D65"/>
    <w:rsid w:val="00C2780A"/>
    <w:rsid w:val="00C31A65"/>
    <w:rsid w:val="00C32988"/>
    <w:rsid w:val="00C364D6"/>
    <w:rsid w:val="00C4499B"/>
    <w:rsid w:val="00C44BD8"/>
    <w:rsid w:val="00C46B1A"/>
    <w:rsid w:val="00C4748A"/>
    <w:rsid w:val="00C476E4"/>
    <w:rsid w:val="00C47EED"/>
    <w:rsid w:val="00C535B2"/>
    <w:rsid w:val="00C53AAA"/>
    <w:rsid w:val="00C53D75"/>
    <w:rsid w:val="00C5569A"/>
    <w:rsid w:val="00C55851"/>
    <w:rsid w:val="00C637E2"/>
    <w:rsid w:val="00C63F3C"/>
    <w:rsid w:val="00C66606"/>
    <w:rsid w:val="00C679B6"/>
    <w:rsid w:val="00C712B8"/>
    <w:rsid w:val="00C71321"/>
    <w:rsid w:val="00C77F62"/>
    <w:rsid w:val="00C81FF6"/>
    <w:rsid w:val="00C83D1D"/>
    <w:rsid w:val="00C86643"/>
    <w:rsid w:val="00C87504"/>
    <w:rsid w:val="00C91D36"/>
    <w:rsid w:val="00C962F7"/>
    <w:rsid w:val="00C966F2"/>
    <w:rsid w:val="00CA34AA"/>
    <w:rsid w:val="00CA3825"/>
    <w:rsid w:val="00CA48D1"/>
    <w:rsid w:val="00CA7AAD"/>
    <w:rsid w:val="00CB01E2"/>
    <w:rsid w:val="00CB29F3"/>
    <w:rsid w:val="00CB2AC9"/>
    <w:rsid w:val="00CB372B"/>
    <w:rsid w:val="00CB579D"/>
    <w:rsid w:val="00CC003A"/>
    <w:rsid w:val="00CC0F20"/>
    <w:rsid w:val="00CC133C"/>
    <w:rsid w:val="00CC4FE4"/>
    <w:rsid w:val="00CC61A1"/>
    <w:rsid w:val="00CC6644"/>
    <w:rsid w:val="00CC7548"/>
    <w:rsid w:val="00CD2394"/>
    <w:rsid w:val="00CE5D9E"/>
    <w:rsid w:val="00CF6E67"/>
    <w:rsid w:val="00D00448"/>
    <w:rsid w:val="00D0184C"/>
    <w:rsid w:val="00D0629A"/>
    <w:rsid w:val="00D06D30"/>
    <w:rsid w:val="00D1478D"/>
    <w:rsid w:val="00D22CB1"/>
    <w:rsid w:val="00D371A8"/>
    <w:rsid w:val="00D37DEF"/>
    <w:rsid w:val="00D418ED"/>
    <w:rsid w:val="00D41CD4"/>
    <w:rsid w:val="00D451B2"/>
    <w:rsid w:val="00D5311B"/>
    <w:rsid w:val="00D55BE4"/>
    <w:rsid w:val="00D655BE"/>
    <w:rsid w:val="00D67D57"/>
    <w:rsid w:val="00D71145"/>
    <w:rsid w:val="00D735B7"/>
    <w:rsid w:val="00D7716F"/>
    <w:rsid w:val="00D8787B"/>
    <w:rsid w:val="00D87D4D"/>
    <w:rsid w:val="00D90522"/>
    <w:rsid w:val="00D93296"/>
    <w:rsid w:val="00D93769"/>
    <w:rsid w:val="00DA1913"/>
    <w:rsid w:val="00DA65BC"/>
    <w:rsid w:val="00DB05AB"/>
    <w:rsid w:val="00DB390C"/>
    <w:rsid w:val="00DB5542"/>
    <w:rsid w:val="00DB7ED9"/>
    <w:rsid w:val="00DC025F"/>
    <w:rsid w:val="00DD66DC"/>
    <w:rsid w:val="00DD671C"/>
    <w:rsid w:val="00DD6E88"/>
    <w:rsid w:val="00DE2D8B"/>
    <w:rsid w:val="00DE323C"/>
    <w:rsid w:val="00DE5018"/>
    <w:rsid w:val="00DF009F"/>
    <w:rsid w:val="00DF2CF5"/>
    <w:rsid w:val="00DF4306"/>
    <w:rsid w:val="00DF5643"/>
    <w:rsid w:val="00DF6085"/>
    <w:rsid w:val="00DF6CB7"/>
    <w:rsid w:val="00DF7A56"/>
    <w:rsid w:val="00E01084"/>
    <w:rsid w:val="00E02B4B"/>
    <w:rsid w:val="00E14B8C"/>
    <w:rsid w:val="00E170C9"/>
    <w:rsid w:val="00E21C3A"/>
    <w:rsid w:val="00E32B92"/>
    <w:rsid w:val="00E338FC"/>
    <w:rsid w:val="00E342D3"/>
    <w:rsid w:val="00E36B33"/>
    <w:rsid w:val="00E45CA5"/>
    <w:rsid w:val="00E50F8C"/>
    <w:rsid w:val="00E51082"/>
    <w:rsid w:val="00E61E5F"/>
    <w:rsid w:val="00E63C3A"/>
    <w:rsid w:val="00E73E38"/>
    <w:rsid w:val="00E7492A"/>
    <w:rsid w:val="00E806C5"/>
    <w:rsid w:val="00E81BC0"/>
    <w:rsid w:val="00E94722"/>
    <w:rsid w:val="00E94BC6"/>
    <w:rsid w:val="00EA0EF2"/>
    <w:rsid w:val="00EA5D61"/>
    <w:rsid w:val="00EA75CD"/>
    <w:rsid w:val="00EA7A11"/>
    <w:rsid w:val="00EB6DF4"/>
    <w:rsid w:val="00EC121F"/>
    <w:rsid w:val="00EC1E02"/>
    <w:rsid w:val="00EC5125"/>
    <w:rsid w:val="00EC5C23"/>
    <w:rsid w:val="00EC67DC"/>
    <w:rsid w:val="00ED0D90"/>
    <w:rsid w:val="00ED37D7"/>
    <w:rsid w:val="00EE24A0"/>
    <w:rsid w:val="00EE7DD9"/>
    <w:rsid w:val="00EF0CB8"/>
    <w:rsid w:val="00EF4EA1"/>
    <w:rsid w:val="00EF6923"/>
    <w:rsid w:val="00EF7440"/>
    <w:rsid w:val="00EF746B"/>
    <w:rsid w:val="00F07B7D"/>
    <w:rsid w:val="00F10948"/>
    <w:rsid w:val="00F15B2A"/>
    <w:rsid w:val="00F15B77"/>
    <w:rsid w:val="00F17339"/>
    <w:rsid w:val="00F17BE3"/>
    <w:rsid w:val="00F20002"/>
    <w:rsid w:val="00F240F6"/>
    <w:rsid w:val="00F24656"/>
    <w:rsid w:val="00F24BCA"/>
    <w:rsid w:val="00F31E08"/>
    <w:rsid w:val="00F3472D"/>
    <w:rsid w:val="00F348DA"/>
    <w:rsid w:val="00F418EE"/>
    <w:rsid w:val="00F445B2"/>
    <w:rsid w:val="00F5536F"/>
    <w:rsid w:val="00F60040"/>
    <w:rsid w:val="00F646C9"/>
    <w:rsid w:val="00F66094"/>
    <w:rsid w:val="00F670B0"/>
    <w:rsid w:val="00F700E0"/>
    <w:rsid w:val="00F811AB"/>
    <w:rsid w:val="00F8149F"/>
    <w:rsid w:val="00F8549C"/>
    <w:rsid w:val="00F87D25"/>
    <w:rsid w:val="00F921F9"/>
    <w:rsid w:val="00F92DC9"/>
    <w:rsid w:val="00F9314A"/>
    <w:rsid w:val="00F9419A"/>
    <w:rsid w:val="00F94C58"/>
    <w:rsid w:val="00FA5293"/>
    <w:rsid w:val="00FA6CAA"/>
    <w:rsid w:val="00FC06CA"/>
    <w:rsid w:val="00FC1D80"/>
    <w:rsid w:val="00FC20AB"/>
    <w:rsid w:val="00FC3446"/>
    <w:rsid w:val="00FE416A"/>
    <w:rsid w:val="00FE5F16"/>
    <w:rsid w:val="00FE75C3"/>
    <w:rsid w:val="00FE7C26"/>
    <w:rsid w:val="338449EC"/>
    <w:rsid w:val="347654A8"/>
    <w:rsid w:val="3B400F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90" w:lineRule="atLeast"/>
      <w:ind w:firstLine="200" w:firstLineChars="20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link w:val="15"/>
    <w:qFormat/>
    <w:uiPriority w:val="0"/>
    <w:pPr>
      <w:keepNext/>
      <w:keepLines/>
      <w:spacing w:before="340" w:after="330" w:line="578" w:lineRule="atLeast"/>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4"/>
    <w:uiPriority w:val="0"/>
    <w:pPr>
      <w:spacing w:line="240" w:lineRule="auto"/>
    </w:pPr>
    <w:rPr>
      <w:sz w:val="18"/>
      <w:szCs w:val="18"/>
    </w:rPr>
  </w:style>
  <w:style w:type="paragraph" w:styleId="4">
    <w:name w:val="footer"/>
    <w:basedOn w:val="1"/>
    <w:link w:val="16"/>
    <w:uiPriority w:val="99"/>
    <w:pPr>
      <w:tabs>
        <w:tab w:val="center" w:pos="4153"/>
        <w:tab w:val="right" w:pos="8306"/>
      </w:tabs>
      <w:autoSpaceDE w:val="0"/>
      <w:autoSpaceDN w:val="0"/>
      <w:spacing w:line="400" w:lineRule="atLeast"/>
      <w:ind w:left="320" w:leftChars="100" w:right="320" w:rightChars="100" w:firstLine="0" w:firstLineChars="0"/>
    </w:pPr>
    <w:rPr>
      <w:snapToGrid w:val="0"/>
      <w:kern w:val="0"/>
      <w:sz w:val="28"/>
      <w:szCs w:val="20"/>
    </w:rPr>
  </w:style>
  <w:style w:type="paragraph" w:styleId="5">
    <w:name w:val="header"/>
    <w:basedOn w:val="1"/>
    <w:uiPriority w:val="0"/>
    <w:pPr>
      <w:tabs>
        <w:tab w:val="center" w:pos="4153"/>
        <w:tab w:val="right" w:pos="8306"/>
      </w:tabs>
      <w:autoSpaceDE w:val="0"/>
      <w:autoSpaceDN w:val="0"/>
      <w:spacing w:line="240" w:lineRule="atLeast"/>
      <w:jc w:val="right"/>
    </w:pPr>
    <w:rPr>
      <w:snapToGrid w:val="0"/>
      <w:kern w:val="0"/>
      <w:sz w:val="18"/>
      <w:szCs w:val="20"/>
    </w:rPr>
  </w:style>
  <w:style w:type="paragraph" w:styleId="6">
    <w:name w:val="Title"/>
    <w:basedOn w:val="1"/>
    <w:qFormat/>
    <w:uiPriority w:val="0"/>
    <w:pPr>
      <w:spacing w:line="640" w:lineRule="atLeast"/>
      <w:ind w:firstLine="0" w:firstLineChars="0"/>
      <w:jc w:val="center"/>
    </w:pPr>
    <w:rPr>
      <w:rFonts w:ascii="Arial" w:hAnsi="Arial" w:eastAsia="方正小标宋_GBK" w:cs="Arial"/>
      <w:bCs/>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文头"/>
    <w:basedOn w:val="1"/>
    <w:uiPriority w:val="0"/>
    <w:pPr>
      <w:autoSpaceDE w:val="0"/>
      <w:autoSpaceDN w:val="0"/>
      <w:spacing w:before="120" w:line="227" w:lineRule="atLeast"/>
      <w:ind w:left="227" w:right="227" w:firstLine="0" w:firstLineChars="0"/>
      <w:jc w:val="distribute"/>
    </w:pPr>
    <w:rPr>
      <w:rFonts w:eastAsia="方正小标宋_GBK"/>
      <w:snapToGrid w:val="0"/>
      <w:color w:val="FF0000"/>
      <w:spacing w:val="36"/>
      <w:w w:val="82"/>
      <w:kern w:val="0"/>
      <w:sz w:val="90"/>
      <w:szCs w:val="20"/>
    </w:rPr>
  </w:style>
  <w:style w:type="paragraph" w:customStyle="1" w:styleId="11">
    <w:name w:val="标题1"/>
    <w:basedOn w:val="6"/>
    <w:uiPriority w:val="0"/>
    <w:rPr>
      <w:rFonts w:ascii="Times New Roman" w:hAnsi="Times New Roman"/>
      <w:sz w:val="44"/>
    </w:rPr>
  </w:style>
  <w:style w:type="paragraph" w:customStyle="1" w:styleId="12">
    <w:name w:val="标题2"/>
    <w:basedOn w:val="11"/>
    <w:uiPriority w:val="0"/>
    <w:pPr>
      <w:spacing w:line="590" w:lineRule="atLeast"/>
    </w:pPr>
    <w:rPr>
      <w:rFonts w:eastAsia="方正楷体_GBK"/>
      <w:sz w:val="32"/>
    </w:rPr>
  </w:style>
  <w:style w:type="paragraph" w:customStyle="1" w:styleId="13">
    <w:name w:val="标题3"/>
    <w:basedOn w:val="1"/>
    <w:uiPriority w:val="0"/>
    <w:rPr>
      <w:rFonts w:eastAsia="方正黑体_GBK"/>
    </w:rPr>
  </w:style>
  <w:style w:type="character" w:customStyle="1" w:styleId="14">
    <w:name w:val="批注框文本 Char"/>
    <w:basedOn w:val="9"/>
    <w:link w:val="3"/>
    <w:uiPriority w:val="0"/>
    <w:rPr>
      <w:rFonts w:eastAsia="方正仿宋_GBK"/>
      <w:kern w:val="2"/>
      <w:sz w:val="18"/>
      <w:szCs w:val="18"/>
    </w:rPr>
  </w:style>
  <w:style w:type="character" w:customStyle="1" w:styleId="15">
    <w:name w:val="标题 1 Char"/>
    <w:basedOn w:val="9"/>
    <w:link w:val="2"/>
    <w:uiPriority w:val="0"/>
    <w:rPr>
      <w:rFonts w:eastAsia="方正仿宋_GBK"/>
      <w:b/>
      <w:bCs/>
      <w:kern w:val="44"/>
      <w:sz w:val="44"/>
      <w:szCs w:val="44"/>
    </w:rPr>
  </w:style>
  <w:style w:type="character" w:customStyle="1" w:styleId="16">
    <w:name w:val="页脚 Char"/>
    <w:basedOn w:val="9"/>
    <w:link w:val="4"/>
    <w:uiPriority w:val="99"/>
    <w:rPr>
      <w:rFonts w:eastAsia="方正仿宋_GBK"/>
      <w:snapToGrid w:val="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308</Words>
  <Characters>1758</Characters>
  <Lines>14</Lines>
  <Paragraphs>4</Paragraphs>
  <TotalTime>6</TotalTime>
  <ScaleCrop>false</ScaleCrop>
  <LinksUpToDate>false</LinksUpToDate>
  <CharactersWithSpaces>2062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2019-05-21T09:38:00Z</dcterms:created>
  <dc:creator>admin</dc:creator>
  <cp:lastModifiedBy>心飞扬1422965502</cp:lastModifiedBy>
  <cp:lastPrinted>2019-05-21T08:55:00Z</cp:lastPrinted>
  <dcterms:modified xsi:type="dcterms:W3CDTF">2019-08-06T03:45:33Z</dcterms:modified>
  <dc:subject>2013-2-26新normal</dc:subject>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